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26" w:lineRule="auto"/>
        <w:ind w:left="123" w:right="463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Regulamin udzielania wsparcia reintegracyjnego </w:t>
        <w:br w:type="textWrapping"/>
        <w:t xml:space="preserve">w</w:t>
      </w:r>
    </w:p>
    <w:p w:rsidR="00000000" w:rsidDel="00000000" w:rsidP="00000000" w:rsidRDefault="00000000" w:rsidRPr="00000000" w14:paraId="00000003">
      <w:pPr>
        <w:spacing w:line="461" w:lineRule="auto"/>
        <w:ind w:left="123" w:right="47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przedsiębiorstwach społecznych</w:t>
      </w:r>
    </w:p>
    <w:p w:rsidR="00000000" w:rsidDel="00000000" w:rsidP="00000000" w:rsidRDefault="00000000" w:rsidRPr="00000000" w14:paraId="00000004">
      <w:pPr>
        <w:spacing w:before="209" w:line="326" w:lineRule="auto"/>
        <w:ind w:left="123" w:right="467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Ośrodka Wsparcia Ekonomii Społecznej obszaru południowego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" w:right="463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realizowanego w ramach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240" w:lineRule="auto"/>
        <w:ind w:left="126" w:right="463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Programu Fundusze Europejskie dla Śląskiego 2021-2027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81" w:lineRule="auto"/>
        <w:ind w:left="1608" w:right="1949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PRIORYTET FESL.07 Fundusze Europejskie dla społeczeństwa DZIAŁANIE 7.1 Ekonomia społeczna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339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TYP 1: Wzmocnienie sektora ekonomii społecznej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25" w:right="463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przez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" w:line="384" w:lineRule="auto"/>
        <w:ind w:left="2420" w:right="2761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Stowarzyszenie Bielskie Centrum Przedsiębiorczości z siedzibą w Bielsku-Białej, ul. Zacisze 5,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" w:right="463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partnerstwie z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123" w:right="464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Bielskim Stowarzyszeniem Artystycznym Teatr Grodzki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" w:line="240" w:lineRule="auto"/>
        <w:ind w:left="123" w:right="463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siedzibą w Bielsku-Białej, ul. Sempołowskiej 13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" w:right="463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Wersja z dnia 28.10.2024 roku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numPr>
          <w:ilvl w:val="0"/>
          <w:numId w:val="5"/>
        </w:numPr>
        <w:tabs>
          <w:tab w:val="left" w:leader="none" w:pos="420"/>
        </w:tabs>
        <w:ind w:left="420" w:hanging="224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Wprowadzenie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240" w:lineRule="auto"/>
        <w:ind w:left="0" w:right="0" w:firstLine="0"/>
        <w:jc w:val="left"/>
        <w:rPr>
          <w:rFonts w:ascii="Caladea" w:cs="Caladea" w:eastAsia="Caladea" w:hAnsi="Calade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4"/>
          <w:tab w:val="left" w:leader="none" w:pos="556"/>
        </w:tabs>
        <w:spacing w:after="0" w:before="1" w:line="276" w:lineRule="auto"/>
        <w:ind w:left="556" w:right="925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Niniejszy regulamin opisuje procedurę przyznawania wsparcia </w:t>
      </w:r>
      <w:r w:rsidDel="00000000" w:rsidR="00000000" w:rsidRPr="00000000">
        <w:rPr>
          <w:rtl w:val="0"/>
        </w:rPr>
        <w:t xml:space="preserve">reintegracyjnego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związanego z tworzeniem miejsc pracy w nowo tworzonych przedsiębiorstwach społecznych, istniejących przedsiębiorstwach społecznych oraz w podmiotach ekonomii społecznej przekształcających się w przedsiębiorstwo społeczne w ramach Projektu OWES obszaru południowego realizowanego przez Stowarzyszenie Bielskie Centrum Przedsiębiorczości </w:t>
        <w:br w:type="textWrapping"/>
        <w:t xml:space="preserve">w partnerstwie z Bielskim Stowarzyszeniem Artystycznym Teatr Grodzki na podstawie wniosku o dofinansowanie FESL.07.01-IZ.01-03CG/23 i umowie zawartej z Urzędem Marszałkowskim Województwa Śląskiego, w ramach Programu Fundusze Europejskie dla Śląskiego na lata 2021- 2027, priorytetu FESL.07 Fundusze Europejskie dla społeczeństwa, działania 7.1 Ekonomia społeczna, typu 1 Wzmocnienie sektora ekonomii społecznej.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161" w:line="240" w:lineRule="auto"/>
        <w:ind w:left="477" w:right="0" w:hanging="358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 realizowany jest w okresie 1 stycznia 2024 roku – 30 czerwca 2029 roku. Celem projektu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76" w:lineRule="auto"/>
        <w:ind w:left="479" w:right="879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jest wsparcie osób zagrożonych wykluczeniem społecznym z subregionu południowego województwa śląskiego, ich aktywizacja społeczno-zawodowa poprzez utworzenie oraz utrzymanie miejsc pracy w przedsiębiorstwach społecznych przy wsparciu finansowym </w:t>
        <w:br w:type="textWrapping"/>
        <w:t xml:space="preserve">i merytorycznym. Ponadto projekt wspiera rozwój podmiotów ekonomii społecznej, na terenie subregionu południowego województwa śląskiego poprzez świadczenie kompleksowych usług przyczyniających się do ich ekonomizacji, profesjonalizacji, zmiany jakościowej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funkcjonowaniu, realizacji usług społecznych na rzecz społeczności lokalnej.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118" w:line="240" w:lineRule="auto"/>
        <w:ind w:left="477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Biuro Projektu “OWES obszaru południowego ” znajduje się w: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6"/>
        </w:tabs>
        <w:spacing w:after="0" w:before="162" w:line="384" w:lineRule="auto"/>
        <w:ind w:left="916" w:right="2801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Stowarzyszeniu Bielskie Centrum Przedsiębiorczości – Lider Projektu ul. Zacisze 5 w Bielsku-Białej, I piętro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9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33 496 02 44, e-mail: </w:t>
      </w:r>
      <w:hyperlink r:id="rId8">
        <w:r w:rsidDel="00000000" w:rsidR="00000000" w:rsidRPr="00000000">
          <w:rPr>
            <w:rFonts w:ascii="Carlito" w:cs="Carlito" w:eastAsia="Carlito" w:hAnsi="Carlito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owes@bcp.org.pl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" w:line="240" w:lineRule="auto"/>
        <w:ind w:left="9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Godziny funkcjonowania: pon.-pt. w godz. 8.00-16.00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6"/>
        </w:tabs>
        <w:spacing w:after="0" w:before="161" w:line="240" w:lineRule="auto"/>
        <w:ind w:left="916" w:right="0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Bielskim Stowarzyszeniu Artystycznym Teatr Grodzki – Partner Projektu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9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ul. Sempołowskiej 13, 43-300 Bielsko-Biała, III piętro, pokój 309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" w:line="384" w:lineRule="auto"/>
        <w:ind w:left="916" w:right="3457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pgSz w:h="16840" w:w="11910" w:orient="portrait"/>
          <w:pgMar w:bottom="1760" w:top="2040" w:left="1220" w:right="880" w:header="427" w:footer="1564"/>
          <w:pgNumType w:start="1"/>
        </w:sect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33 496 52 19, e-mail: </w:t>
      </w:r>
      <w:hyperlink r:id="rId11">
        <w:r w:rsidDel="00000000" w:rsidR="00000000" w:rsidRPr="00000000">
          <w:rPr>
            <w:rFonts w:ascii="Carlito" w:cs="Carlito" w:eastAsia="Carlito" w:hAnsi="Carlito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biuro.owes@teatrgrodzki.pl</w:t>
        </w:r>
      </w:hyperlink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Godziny funkcjonowania: pon.-pt. w godz. 8.00-16.00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5"/>
        </w:numPr>
        <w:tabs>
          <w:tab w:val="left" w:leader="none" w:pos="519"/>
        </w:tabs>
        <w:ind w:left="519" w:hanging="323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Definicje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</w:tabs>
        <w:spacing w:after="0" w:before="316" w:line="240" w:lineRule="auto"/>
        <w:ind w:left="914" w:right="0" w:hanging="358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Osoba zagrożona wykluczeniem społecznym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zgodnie z art. 2 pkt 6 ustawy z dnia 5 sierpnia 2022 r. o ekonomii społecznej należy przez to rozumieć: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  <w:tab w:val="left" w:leader="none" w:pos="1636"/>
        </w:tabs>
        <w:spacing w:after="0" w:before="41" w:line="276" w:lineRule="auto"/>
        <w:ind w:left="163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bezrobotnego, o którym mowa w art. 2 ust. 1 pkt 2 ustawy z dnia 20 kwietnia 2004 r. </w:t>
        <w:br w:type="textWrapping"/>
        <w:t xml:space="preserve">o promocji zatrudnienia i instytucjach rynku pracy (Dz. U. z 2022 r. poz. 690, 830, 1079, 1383 i 1561),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</w:tabs>
        <w:spacing w:after="0" w:before="0" w:line="240" w:lineRule="auto"/>
        <w:ind w:left="1634" w:right="0" w:hanging="358"/>
        <w:jc w:val="both"/>
        <w:rPr/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bezrobotnego długotrwale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 którym mowa w art. 2 ust. 1 pkt 5 ustawy z dnia 20 kwietnia 2004 r. o promocji zatrudnienia i instytucjach rynku pracy,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5"/>
        </w:tabs>
        <w:spacing w:after="0" w:before="41" w:line="240" w:lineRule="auto"/>
        <w:ind w:left="1635" w:right="0" w:hanging="359.00000000000006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poszukującego pracy, o którym mowa w art. 2 ust. 1 pkt 22 ustawy z dnia 20 kwietnia 2004 r. o promocji zatrudnienia i instytucjach rynku pracy, bez zatrudnienia: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80"/>
        </w:tabs>
        <w:spacing w:after="0" w:before="39" w:line="240" w:lineRule="auto"/>
        <w:ind w:left="2480" w:right="0" w:hanging="1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wieku do 30. roku życia oraz po ukończeniu 50. roku życia lub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80"/>
        </w:tabs>
        <w:spacing w:after="0" w:before="41" w:line="276" w:lineRule="auto"/>
        <w:ind w:left="232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niewykonującego innej pracy zarobkowej, o której mowa w art. 2 ust. 1 pkt 11 ustawy z dnia 20 kwietnia 2004 r. o promocji zatrudnienia i instytucjach rynku pracy,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</w:tabs>
        <w:spacing w:after="0" w:before="0" w:line="240" w:lineRule="auto"/>
        <w:ind w:left="1634" w:right="0" w:hanging="358"/>
        <w:jc w:val="both"/>
        <w:rPr/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niepełnosprawną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rozumieniu art. 1 ustawy z dnia 27 sierpnia 1997 r.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1636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rehabilitacji zawodowej i społecznej oraz zatrudnianiu osób niepełnosprawnych,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  <w:tab w:val="left" w:leader="none" w:pos="1636"/>
        </w:tabs>
        <w:spacing w:after="0" w:before="41" w:line="273" w:lineRule="auto"/>
        <w:ind w:left="163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absolwenta centrum integracji społecznej oraz absolwenta klubu integracji społecznej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  <w:br w:type="textWrapping"/>
        <w:t xml:space="preserve">o których mowa w art. 2 pkt 1a i 1b ustawy z dnia 13 czerwca 2003 r. o zatrudnieniu socjalnym,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6"/>
        </w:tabs>
        <w:spacing w:after="0" w:before="41" w:line="240" w:lineRule="auto"/>
        <w:ind w:left="163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spełniającą kryteria, o których mowa w art. 8 ust. 1 pkt 1 i 2 ustawy z dnia 12 marca 2004 r. o pomocy społecznej (Dz. U. z 2021 r. poz. 2268, z późn. zm.3) tj.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56"/>
        </w:tabs>
        <w:spacing w:after="0" w:before="0" w:line="240" w:lineRule="auto"/>
        <w:ind w:left="2356" w:right="0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samotnie gospodarującą, której dochód nie przekracza kwoty 776 zł,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49"/>
        </w:tabs>
        <w:spacing w:after="0" w:before="14" w:line="388" w:lineRule="auto"/>
        <w:ind w:left="1473" w:right="644" w:firstLine="52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w rodzinie, w której dochód na osobę nie przekracza kwoty 600 zł, przy jednoczesnym wystąpieniu co najmniej jednego z powodów wymienionych w art.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1473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pkt. 2–15 (tj. sieroctwa; bezdomności; bezrobocia; niepełnosprawności; długotrwałej lub ciężkiej choroby; przemocy domowej; potrzeby ochrony ofiar handlu ludźmi; potrzeby ochrony macierzyństwa lub wielodzietności; bezradności w sprawach opiekuńczo-wychowawczych i prowadzenia gospodarstwa domowego, zwłaszcza w rodzinach niepełnych lub wielodzietnych; trudności w integracji cudzoziemców, którzy uzyskali </w:t>
        <w:br w:type="textWrapping"/>
        <w:t xml:space="preserve">w Rzeczypospolitej Polskiej status uchodźcy, ochronę uzupełniającą lub zezwolenie na pobyt czasowy udzielone w związku z okolicznością, o której mowa w art. 159 ust. 1 pkt 1 lit. c lub d ustawy z dnia 12 grudnia 2013 r. o cudzoziemcach; trudności w przystosowaniu do życia po zwolnieniu z zakładu karnego; alkoholizmu lub narkomanii; zdarzenia losowego i sytuacji kryzysowej; klęski żywiołowej lub ekologicznej) lub innych okoliczności uzasadniających udzielenie pomocy społecznej.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6"/>
        </w:tabs>
        <w:spacing w:after="0" w:before="120" w:line="276" w:lineRule="auto"/>
        <w:ind w:left="1636" w:right="29" w:hanging="360"/>
        <w:jc w:val="left"/>
        <w:rPr/>
        <w:sectPr>
          <w:type w:val="nextPage"/>
          <w:pgSz w:h="16840" w:w="11910" w:orient="portrait"/>
          <w:pgMar w:bottom="1800" w:top="2040" w:left="1220" w:right="880" w:header="427" w:footer="1564"/>
        </w:sect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uprawnioną do specjalnego zasiłku opiekuńczego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 której mowa w art. 1 ust. 1 ustawy z dnia 28 listopada 2003 r. o świadczeniach rodzinnych (Dz. U. z 2022 r. poz. 615 </w:t>
        <w:br w:type="textWrapping"/>
        <w:t xml:space="preserve">i 1265),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  <w:tab w:val="left" w:leader="none" w:pos="1636"/>
        </w:tabs>
        <w:spacing w:after="0" w:before="0" w:line="276" w:lineRule="auto"/>
        <w:ind w:left="1636" w:right="29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usamodzielnianą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 której mowa w art. 140 ust. 1 i 2 ustawy z dnia 9 czerwca 2011 r. o wspieraniu rodziny i systemie pieczy zastępczej (Dz. U. z 2022 r. poz. 447 i 1700) oraz art. 88 ust. 1 ustawy z dnia 12 marca 2004 r. o pomocy społecznej,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4"/>
        </w:tabs>
        <w:spacing w:after="0" w:before="41" w:line="240" w:lineRule="auto"/>
        <w:ind w:left="854" w:right="29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z zaburzeniami psychicznymi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 której mowa w art. 3 pkt 1 ustawy z dnia 19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76" w:lineRule="auto"/>
        <w:ind w:left="1636" w:right="29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sierpnia 1994 r. o ochronie zdrowia psychicznego (Dz. U. z 2020 r. poz. 685 oraz z 2022 r. poz. 974 i 1700),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6"/>
        </w:tabs>
        <w:spacing w:after="0" w:before="0" w:line="276" w:lineRule="auto"/>
        <w:ind w:left="1636" w:right="29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pozbawioną wolności, osobę opuszczającą zakład karny oraz pełnoletnią osobę opuszczającą zakład poprawczy,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5"/>
        </w:tabs>
        <w:spacing w:after="0" w:before="0" w:line="240" w:lineRule="auto"/>
        <w:ind w:left="1635" w:right="29" w:hanging="359.00000000000006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osobę starszą, o której mowa w art. 4 pkt 1 ustawy z dnia 11 września 2015 r.o osobach starszych (Dz. U. poz. 1705),</w:t>
      </w:r>
    </w:p>
    <w:p w:rsidR="00000000" w:rsidDel="00000000" w:rsidP="00000000" w:rsidRDefault="00000000" w:rsidRPr="00000000" w14:paraId="00000038">
      <w:pPr>
        <w:pStyle w:val="Heading3"/>
        <w:numPr>
          <w:ilvl w:val="0"/>
          <w:numId w:val="4"/>
        </w:numPr>
        <w:tabs>
          <w:tab w:val="left" w:leader="none" w:pos="1636"/>
        </w:tabs>
        <w:spacing w:before="42" w:line="276" w:lineRule="auto"/>
        <w:ind w:left="1636" w:right="29" w:hanging="360"/>
        <w:jc w:val="both"/>
        <w:rPr>
          <w:b w:val="0"/>
        </w:rPr>
      </w:pPr>
      <w:r w:rsidDel="00000000" w:rsidR="00000000" w:rsidRPr="00000000">
        <w:rPr>
          <w:rtl w:val="0"/>
        </w:rPr>
        <w:t xml:space="preserve">osobę, która uzyskała w Rzeczypospolitej Polskiej status uchodźcy lub ochronę uzupełniającą</w:t>
      </w:r>
      <w:r w:rsidDel="00000000" w:rsidR="00000000" w:rsidRPr="00000000">
        <w:rPr>
          <w:b w:val="0"/>
          <w:rtl w:val="0"/>
        </w:rPr>
        <w:t xml:space="preserve">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76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Ośrodek wsparcia ekonomii społecznej (OWES)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podmiot lub partnerstwo, o którym mowa w art. 36 ust. 1 ustawy z dnia 5 sierpnia 2022 r o ekonomii społecznej prowadzony przez Stowarzyszenie Bielskie Centrum Przedsiębiorczości w partnerstwie z Bielskim Stowarzyszeniem Artystycznym Teatr Grodzki 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realizujące projekt pn. „OWES obszaru południowego”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terenie 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subregionu południowego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posiadający akredytację Ministerstwa Rodziny i Polityki Społecznej przyznaną decyzją nr 16/2023 z dnia 2023-04-14.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76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Podmiot ekonomii społecznej (PES)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zgodnie z art. 2 pkt 5 ustawy z dnia 5 sierpnia 2022 r. </w:t>
        <w:br w:type="textWrapping"/>
        <w:t xml:space="preserve">o ekonomii społecznej należy przez to rozumieć: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</w:tabs>
        <w:spacing w:after="0" w:before="0" w:line="240" w:lineRule="auto"/>
        <w:ind w:left="1634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spółdzielnię socjalną,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</w:tabs>
        <w:spacing w:after="0" w:before="39" w:line="240" w:lineRule="auto"/>
        <w:ind w:left="1634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warsztat terapii zajęciowej i zakład aktywności zawodowej,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5"/>
        </w:tabs>
        <w:spacing w:after="0" w:before="41" w:line="240" w:lineRule="auto"/>
        <w:ind w:left="1635" w:right="0" w:hanging="359.00000000000006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centrum integracji społecznej i klub integracji społecznej,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</w:tabs>
        <w:spacing w:after="0" w:before="41" w:line="240" w:lineRule="auto"/>
        <w:ind w:left="1634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spółdzielnię pracy, w tym spółdzielnię inwalidów i spółdzielnię niewidomych,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163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oraz spółdzielnię produkcji rolnej,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34"/>
          <w:tab w:val="left" w:leader="none" w:pos="1636"/>
        </w:tabs>
        <w:spacing w:after="0" w:before="39" w:line="276" w:lineRule="auto"/>
        <w:ind w:left="1636" w:right="895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organizację pozarządową, o której mowa w art. 3 ust. 2 ustawy z dnia 24 kwietnia 2003 r. o działalności pożytku publicznego i o wolontariacie (Dz. U. z 2022 r. poz. 1327 i 1265), z wyjątkiem partii politycznych, europejskich partii politycznych, związków zawodowych i organizacji pracodawców, samorządów zawodowych, fundacji utworzonych przez partie polityczne i europejskich fundacji politycznych,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9"/>
        </w:tabs>
        <w:spacing w:after="0" w:before="1" w:line="240" w:lineRule="auto"/>
        <w:ind w:left="1629" w:right="0" w:hanging="355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podmiot, o którym mowa w art. 3 ust. 3 pkt 1, 2 lub 4 ustawy z dnia 24 kwietnia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" w:line="240" w:lineRule="auto"/>
        <w:ind w:left="1629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2003 r. o działalności pożytku publicznego i o wolontariacie.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41" w:line="240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Przedsiębiorstwo społeczne (PS)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oznacza podmiot ekonomii społecznej, który uzyskał status przedsiębiorstwa społecznego w drodze decyzji wydanej przez wojewodę na podstawie art. 12 ustawy z dnia 5 sierpnia 2022 o ekonomii społecznej.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1" w:line="288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Reintegracja społeczna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należy przez to rozumieć działania służące odbudowaniu lub nabyciu </w:t>
        <w:br w:type="textWrapping"/>
        <w:t xml:space="preserve">i podtrzymaniu umiejętności uczestniczenia w życiu społeczności lokalnej i pełnienia ról społecznych w miejscu pracy, zamieszkania lub pobytu, w tym rehabilitację społeczną osób niepełnosprawnych;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88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780" w:top="2040" w:left="1220" w:right="880" w:header="427" w:footer="1564"/>
        </w:sect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Reintegracja zawodowa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należy przez to rozumieć działania służące zdobyciu nowych kwalifikacji, kompetencji, wiedzy i umiejętności w celu odbudowania lub uzyskania  i  podtrzymania zdolnośc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15" w:right="2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samodzielnego świadczenia pracy na rynku pracy i awansu zawodowego, w tym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rehabilitację zawodową osób niepełnosprawnych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1" w:line="288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Centrum integracji społecznej (CIS)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podmiot reintegracji społecznej i zawodowej utworzony na podstawie przepisów ustawy z dnia 13 czerwca 2003 r. o zatrudnieniu socjalnym (Dz. U. z 2016 r. poz. 1828), posiadający aktualny wpis do rejestru CIS prowadzonego przez właściwego wojewodę.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88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Klub integracji społecznej (KIS)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podmiot reintegracji społecznej i zawodowej utworzony na podstawie przepisów ustawy z dnia 13 czerwca 2003 r. o zatrudnieniu socjalnym, posiadający aktualny wpis do rejestru KIS prowadzonego przez właściwego wojewodę.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88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Osoba z niepełnosprawnością sprzężoną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osoba, u której stwierdzono występowanie dwóch lub więcej niepełnosprawności.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88" w:lineRule="auto"/>
        <w:ind w:left="916" w:right="29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Uczestnik Projektu (UP) / Beneficjent Pomocy (BP)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osoba fizyczna lub podmiot prawny, który został zakwalifikowany do udziału w Projekcie i złożył deklarację przystąpienia do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</w:tabs>
        <w:spacing w:after="0" w:before="0" w:line="240" w:lineRule="auto"/>
        <w:ind w:left="914" w:right="29" w:hanging="358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Instytucja Zarządzająca – Urząd Marszałkowski Województwa Śląskiego.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53" w:line="290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Kandydat/tka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osoba fizyczna lub osoba prawna zainteresowana udziałem w Projekcie, która bierze udział w procesie rekrutacji.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88" w:lineRule="auto"/>
        <w:ind w:left="916" w:right="29" w:hanging="36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Subregion południowy województwa śląskiego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teren powiatu bielskiego, cieszyńskiego, żywieckiego oraz miasta Bielska-Białej.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</w:tabs>
        <w:spacing w:after="0" w:before="0" w:line="267" w:lineRule="auto"/>
        <w:ind w:left="914" w:right="29" w:hanging="358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Strona internetowa projektu OWES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strona </w:t>
      </w:r>
      <w:hyperlink r:id="rId12">
        <w:r w:rsidDel="00000000" w:rsidR="00000000" w:rsidRPr="00000000">
          <w:rPr>
            <w:rFonts w:ascii="Carlito" w:cs="Carlito" w:eastAsia="Carlito" w:hAnsi="Carlito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www.owes.bcp.org.pl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</w:tabs>
        <w:spacing w:after="0" w:before="0" w:line="267" w:lineRule="auto"/>
        <w:ind w:left="914" w:right="29" w:hanging="358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Indywidualny plan reintegracyjny (IPR)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dokument opracowywany dla każdej zatrudnionej osoby</w:t>
        <w:br w:type="textWrapping"/>
        <w:t xml:space="preserve">zagrożonej wykluczeniem społecznym, do której został udzielony instrument wsparcia, o którym</w:t>
        <w:br w:type="textWrapping"/>
        <w:t xml:space="preserve">mowa w art. 21 lub art. 22 ustawy z dnia 5 sierpnia 2022 r. o ekonomii społecznej (Ustawa).</w:t>
        <w:br w:type="textWrapping"/>
      </w:r>
      <w:r w:rsidDel="00000000" w:rsidR="00000000" w:rsidRPr="00000000">
        <w:rPr>
          <w:rtl w:val="0"/>
        </w:rPr>
        <w:t xml:space="preserve">PS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opracowuje i realizuje Indywidualny plan reintegracyjny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przez okres nie krótszy niż okres, na jaki został udzielony ten instrument, lub nie krótszy niż okres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zatrudnienia danej osoby wymagany w związku z udzieleniem tego instrumentu, dla której został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udzielony instrument wsparcia. Szczegółowe zasady opracowania IPR opisano w art. 6 Ustawy.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</w:tabs>
        <w:spacing w:after="0" w:before="0" w:line="267" w:lineRule="auto"/>
        <w:ind w:left="914" w:right="29" w:hanging="358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Zespół –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oznacza pracowników przedsiębiorstwa społecznego spełniających przesłankę wykluczenia społecznego </w:t>
      </w:r>
      <w:r w:rsidDel="00000000" w:rsidR="00000000" w:rsidRPr="00000000">
        <w:rPr>
          <w:rtl w:val="0"/>
        </w:rPr>
        <w:t xml:space="preserve">zgodnie z art. 2, punkt 6, litery b, d, e, g, h, i oraz l ustawy z dnia 5 sierpnia 2022 r. </w:t>
        <w:br w:type="textWrapping"/>
        <w:t xml:space="preserve">o ekonomii społecznej:</w:t>
      </w:r>
    </w:p>
    <w:p w:rsidR="00000000" w:rsidDel="00000000" w:rsidP="00000000" w:rsidRDefault="00000000" w:rsidRPr="00000000" w14:paraId="00000051">
      <w:pPr>
        <w:pStyle w:val="Heading3"/>
        <w:numPr>
          <w:ilvl w:val="1"/>
          <w:numId w:val="5"/>
        </w:numPr>
        <w:tabs>
          <w:tab w:val="left" w:leader="none" w:pos="914"/>
          <w:tab w:val="left" w:leader="none" w:pos="916"/>
        </w:tabs>
        <w:spacing w:before="51" w:line="288" w:lineRule="auto"/>
        <w:ind w:left="916" w:right="29" w:hanging="360"/>
        <w:jc w:val="both"/>
        <w:rPr/>
      </w:pPr>
      <w:r w:rsidDel="00000000" w:rsidR="00000000" w:rsidRPr="00000000">
        <w:rPr>
          <w:rtl w:val="0"/>
        </w:rPr>
        <w:t xml:space="preserve">Trwałość wynikająca z otrzymania wsparcia finansowego na utworzenie i utrzymanie miejsca pracy w ramach projektu OWES: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7"/>
          <w:tab w:val="left" w:leader="none" w:pos="1329"/>
        </w:tabs>
        <w:spacing w:after="0" w:before="0" w:line="288" w:lineRule="auto"/>
        <w:ind w:left="1329" w:right="29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Trwałość miejsca pracy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miejsce pracy uznaje się za utrzymane pod warunkiem zatrudnienia w nim osób zagrożonych wykluczeniem społecznym przez okres co najmniej 12 miesięcy od dnia jego utworzenia z zastrzeżeniem warunków opisanych poniżej. Po okresie utrzymania miejsca pracy wymagane jest zachowanie okresu trwałości, który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329" w:right="29" w:firstLine="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wynosi 6 miesięcy od zakończenia okresu utrzymania miejsca pracy (mierzone od momentu upływu okresu 12 miesięcy finansowania na utrzymanie miejsca pracy). Dopuszcza się przerwy w zatrudnieniu nie dłuższe niż łącznie 30 dni kalendarzowych w okresie 12 miesięcy uprawniające do kwalifikowania stawki jednostkowej. Każdy kolejny dzień przerwy (ponad dopuszczalne 30 dni) odpowiednio wydłuża okres utrzymania miejsca pracy. Jako przerwę </w:t>
        <w:br w:type="textWrapping"/>
        <w:t xml:space="preserve">w zatrudnieniu traktuje się czas, w którym PS nie wypłaca pracownikowi wynagrodzenia, </w:t>
        <w:br w:type="textWrapping"/>
        <w:t xml:space="preserve">w szczególności okresy: urlopu bezpłatnego, zasiłku chorobowego płatnego przez ZUS, urlopu macierzyńskiego i wychowawczego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Przerwą w zatrudnieniu jest również sytuacja, gdy na utworzonym stanowisku pracy nie było zatrudnionej osoby spełniającej definicję osoby zagrożonej wykluczeniem społecznym. Przerwą w zatrudnieniu nie są urlopy wypoczynkowe</w:t>
        <w:br w:type="textWrapping"/>
        <w:t xml:space="preserve"> i okolicznościowe oraz zwolnienia chorobowe płatne przez PS/PES;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329" w:right="2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3"/>
        <w:numPr>
          <w:ilvl w:val="0"/>
          <w:numId w:val="1"/>
        </w:numPr>
        <w:tabs>
          <w:tab w:val="left" w:leader="none" w:pos="1328"/>
        </w:tabs>
        <w:ind w:left="1328" w:hanging="359.00000000000006"/>
        <w:rPr/>
      </w:pPr>
      <w:r w:rsidDel="00000000" w:rsidR="00000000" w:rsidRPr="00000000">
        <w:rPr>
          <w:rtl w:val="0"/>
        </w:rPr>
        <w:t xml:space="preserve">Trwałość przedsiębiorstwa społecznego -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0" w:before="170" w:line="240" w:lineRule="auto"/>
        <w:ind w:left="1560" w:right="29" w:hanging="284.00000000000006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utrzymanie statusu PS przez okres obowiązywania Umowy o udzielenie wsparcia finansowego na utworzenie i utrzymanie miejsca pracy,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159" w:line="276" w:lineRule="auto"/>
        <w:ind w:left="1624" w:right="29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przypadku PES przekształcanych w PS – uzyskanie statusu PS przed upływem 6 miesięcy od dnia utworzenia pierwszego nowego miejsca pracy w ramach przyznanego wsparcia oraz utrzymanie go przez okres obowiązywania Umowy o udzielenie wsparcia finansowego na utworzenie i utrzymanie powstałego w wyniku otrzymanego wsparcia miejsca pracy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159" w:line="276" w:lineRule="auto"/>
        <w:ind w:left="1624" w:right="29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zapewnienie, że przed upływem 3 lat od rozliczenia wsparcia finansowego, podmiot nie przekształci się w podmiot gospodarczy niespełniający definicji PES, a w przypadku likwidacji tego PES – zapewnienie, że majątek zakupiony w związku z udzieleniem wsparcia finansowego na utworzenie i utrzymanie miejsc pracy zostanie ponownie wykorzystany na wsparcie PS, o ile przepisy prawa nie stanowią inaczej.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1624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numPr>
          <w:ilvl w:val="0"/>
          <w:numId w:val="5"/>
        </w:numPr>
        <w:tabs>
          <w:tab w:val="left" w:leader="none" w:pos="519"/>
        </w:tabs>
        <w:spacing w:before="41" w:lineRule="auto"/>
        <w:ind w:left="0" w:firstLine="567"/>
        <w:rPr/>
      </w:pPr>
      <w:r w:rsidDel="00000000" w:rsidR="00000000" w:rsidRPr="00000000">
        <w:rPr>
          <w:rtl w:val="0"/>
        </w:rPr>
        <w:t xml:space="preserve">Zasady udzielania wsparcia reintegracyjnego </w:t>
      </w:r>
    </w:p>
    <w:p w:rsidR="00000000" w:rsidDel="00000000" w:rsidP="00000000" w:rsidRDefault="00000000" w:rsidRPr="00000000" w14:paraId="0000005B">
      <w:pPr>
        <w:pStyle w:val="Heading1"/>
        <w:tabs>
          <w:tab w:val="left" w:leader="none" w:pos="519"/>
        </w:tabs>
        <w:spacing w:before="41" w:lineRule="auto"/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567" w:right="0" w:hanging="11.000000000000014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Podmiot ekonomii społecznej PS w przypadku każdej zatrudnionej osoby zagrożonej wykluczeniem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społecznym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do której został udzielony instrument wsparcia (jednorazowe środki na utworzenie stanowiska pracy z OWES, środki Funduszu Pracy lub Państwowego Funduszu Rehabilitacji Osób Niepełnosprawnych na finansowanie kosztów wynagrodzenia, lub kosztów płacy, lub finansowanie składek od wynagrodzenia osób zagrożonych wykluczeniem społecznym z Funduszu Pracy) ma obowiązek opracowania i realizacji indywidualnego planu reintegracyjnego (IPR).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567" w:right="0" w:hanging="11.000000000000014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Przedsiębiorstwo Społeczne może objąć wsparciem reintegracyjnym osoby spełniające przesłanki zgodnie z art. 2, </w:t>
      </w:r>
      <w:r w:rsidDel="00000000" w:rsidR="00000000" w:rsidRPr="00000000">
        <w:rPr>
          <w:rtl w:val="0"/>
        </w:rPr>
        <w:t xml:space="preserve">pkt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6, litery b, d, e, g, h, i oraz l ustawy z dnia 5 sierpnia 2022 r. o ekonomii społecznej: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osoby długotrwale bezrobotne;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osoby niepełnosprawne;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absolwenci centrów integracji społecznej oraz absolwenci klubów integracji społecznej;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osoby uprawnione do specjalnego zasiłku opiekuńczego;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osoby usamodzielniane;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osoby z zaburzeniami psychicznymi;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927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osoby, które posiadają status uchodźcy lub ochronę uzupełniającą.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41" w:line="240" w:lineRule="auto"/>
        <w:ind w:left="567" w:right="0" w:hanging="11.000000000000014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Proces przygotowania IPR musi zacząć się niezwłocznie po zatrudnieniu pracownika w PS i zakończyć w ciągu 2 miesięcy.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851"/>
        </w:tabs>
        <w:spacing w:after="0" w:before="41" w:line="240" w:lineRule="auto"/>
        <w:ind w:left="567" w:right="0" w:hanging="11.000000000000014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Indywidualny plan reintegracyjny jest opracowywany jest przez Przedsiębiorstwo Społeczne przy aktywnym uczestnictwie osoby zagrożonej wykluczeniem społecznym celem podniesienia jej kwalifikacji zawodowych i kompetencji społecznych.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851"/>
        </w:tabs>
        <w:spacing w:after="0" w:before="41" w:line="240" w:lineRule="auto"/>
        <w:ind w:left="567" w:right="0" w:hanging="11.000000000000014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Indywidualny plan reintegracyjny zawiera w szczególności informacje o: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3.1 sytuacji życiowej społecznej i zawodowej osoby;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3.2 planowanych działaniach  w obszarze reintegracji społecznej i zawodowej;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3.3 zakładanych efektach planowanych działań z zakresu reintegracji społecznej i zawodowej oraz sposobie ich oceny.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OWES posiada wykaz podmiotów zatrudnienia socjalnego jako </w:t>
      </w:r>
      <w:r w:rsidDel="00000000" w:rsidR="00000000" w:rsidRPr="00000000">
        <w:rPr>
          <w:rtl w:val="0"/>
        </w:rPr>
        <w:t xml:space="preserve">udostępnioną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bazę wiedzy dla PS.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Wsparcie reintegracyjne jest świadczone na podstawie sporządzonego IPR.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Dofinansowanie realizacji IPR powiązane jest z wypłatą (w formie refundacji) finansowego wsparcia reintegracyjnego i w całym okresie realizacji IPR wynosi do 300% minimalnego wynagrodzenia za pracę na jednego pracownika.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Wsparcie, o którym mowa w pkt. 5, dotyczy wyłącznie nowych pracowników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superscript"/>
        </w:rPr>
        <w:footnoteReference w:customMarkFollows="0" w:id="0"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 spełniających przesłanki osób preferowanych do wsparcia (zgodnie z Roz II pkt 1) i może być świadczone również bez przyznawania wsparcia finansowego na utworzenie i utrzymanie miejsca pracy w PS.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F">
      <w:pPr>
        <w:pStyle w:val="Heading1"/>
        <w:numPr>
          <w:ilvl w:val="0"/>
          <w:numId w:val="5"/>
        </w:numPr>
        <w:tabs>
          <w:tab w:val="left" w:leader="none" w:pos="519"/>
        </w:tabs>
        <w:spacing w:before="41" w:lineRule="auto"/>
        <w:ind w:left="993" w:hanging="426"/>
        <w:rPr/>
      </w:pPr>
      <w:r w:rsidDel="00000000" w:rsidR="00000000" w:rsidRPr="00000000">
        <w:rPr>
          <w:rtl w:val="0"/>
        </w:rPr>
        <w:t xml:space="preserve">Kwalifikowalność wydatków w ramach wsparcia reintegracyjnego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Wydatki w ramach wsparcia reintegracyjnego mają dotyczyć działań z zakresu reintegracji społecznej i reintegracji zawodowej, skierowanych bezpośrednio do pracownika lub zespołu i mają na celu zwiększenie możliwości udziału w życiu społecznym i zawodowym osoby objętej IPR.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Realizacja obowiązku przedsiębiorstwa społecznego wobec pracownika, zgodnie z Rekomendacjami MRPiPS,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jakim jest opracowanie IPR, nie może odbywać się w ramach działalności gospodarczej tego przedsiębiorstwa. Realizacja działań reintegracyjnych musi zostać uwzględniona wśród celów statutowych PS.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Możliwość finansowania z różnych źródeł działań reintegracyjnych wymienionych w IPR sprawia, że to PS powinno zarządzać procesem reintegracji i odgrywać główną rolę w tworzeniu i realizacji tego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planu. PS zapewnia, że nie występuje podwójne finansowanie wsparcia, w tym w szczególności ze wsparciem finansowym na utworzenie i utrzymanie miejsca pracy w PS.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Wydatki w ramach wsparcia reintegracyjnego mogą być ponoszone wyłącznie w okresie realizacji IPR. tj. od dnia podjęcia zatrudnienia i podpisania IPR przez pracownika, jednak nie wcześniej niż od dnia podpisania Umowy o udzielenie finansowego wsparcia reintegracyjnego. Okres realizacji IPR nie może być krótszy niż 12 miesięcy, chyba że zostanie przerwane zatrudnienie/ustanie stosunek pracy z danym pracownikiem/cą.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Katalog wydatków w ramach wsparcia reintegracyjnego ma charakter otwarty, jednak powinien wynikać z danych i informacji zawartych w IPR oraz nie może obejmować działań powiązanych  </w:t>
        <w:br w:type="textWrapping"/>
        <w:t xml:space="preserve">z działalnością gospodarczą tego przedsiębiorstwa.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Dopuszczalny jest udział w części działań reintegracyjnych pozostałych członków zespołu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PS.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ramach wsparcia reintegracyjnego dopuszczalne finansowanie następujących kategorii wydatków: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7.1 Wsparcie podstawowe: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Wsparcie specjalistów, np.: doradca zawodowy, trener pracy, coach, psycholog, mentor, superwizor;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Wsparcie edukacyjne, np.: kursy, szkolenia i warsztaty w zakresie umiejętności społecznych;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kursy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szkolenia zawodowe; podnoszenie poziomu wykształcenia</w:t>
      </w:r>
      <w:r w:rsidDel="00000000" w:rsidR="00000000" w:rsidRPr="00000000">
        <w:rPr>
          <w:rtl w:val="0"/>
        </w:rPr>
        <w:t xml:space="preserve">, pozostałe formy kształcenia </w:t>
        <w:br w:type="textWrapping"/>
        <w:t xml:space="preserve">i podnoszenia kompetencji i kwalifikacji — z zastrzeżeniem, iż wydatki na IPR pracownika na ten cel nie mogą odbywać się w ramach działalności gospodarczej/odpłatnej tego przedsiębiorstwa.</w:t>
      </w:r>
      <w:r w:rsidDel="00000000" w:rsidR="00000000" w:rsidRPr="00000000">
        <w:rPr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d)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spotkania sieciujące;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7.2 Wsparcie uzupełniające: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Wsparcie integracyjne (dla pracowników PS), m.in.: wyjazdy, spotkania integracyjne </w:t>
        <w:br w:type="textWrapping"/>
        <w:t xml:space="preserve">i integracyjno-edukacyjne, korzystanie z lokalnej oferty kulturalnej, grupy samopomocowe;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Wsparcie związane z wykluczeniem komunikacyjnym, np. zakup biletów;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Sfinansowanie opieki nad osobami zależnymi.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Wsparcie uzupełniające może być świadczone tylko w połączeniu ze wsparciem podstawowym.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OWES przy organizacji wsparcia reintegracyjnego współpracuje z centrami integracji społecznej </w:t>
        <w:br w:type="textWrapping"/>
        <w:t xml:space="preserve">i klubami integracji społecznej, w szczególności przy organizacji usług z zakresu reintegracji społecznej </w:t>
        <w:br w:type="textWrapping"/>
        <w:t xml:space="preserve">i zawodowej, o których mowa w art. 3 ust. 1 i art. 18 ust. 2 pkt 1 ustawy z dnia 13 czerwca 2003 r. </w:t>
        <w:br w:type="textWrapping"/>
        <w:t xml:space="preserve">o zatrudnieniu socjalnym.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41" w:line="240" w:lineRule="auto"/>
        <w:ind w:left="567" w:right="0" w:firstLine="1.0000000000000142"/>
        <w:jc w:val="both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OWES przy współpracy z ROPS przygotowuje zestawienie oferty wszystkich CIS i KIS w danym subregionie i przekazuje ją Przedsiębiorstwom Społecznym (zestawienie dostępne na stronie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https://es.rops-katowice.pl/katalog-uslug-reintegracyjnych-cis-i-kis/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Przedsiębiorstwo Społeczne zobowiązane jest do wyboru wykonawcy usług spośród CIS i KIS z zachowaniem zasad opisanych w pkt. 8, o ile dana usługa mieści się w ofercie ww. podmiotów.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może podjąć decyzję o konieczności zlecenia ich realizacji innym podmiotom w sytuacji, gdy: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zakres tej oferty lub jej charakter przekraczają możliwości CIS i KIS (PS zobowiązane jest dostarczyć mi</w:t>
      </w:r>
      <w:r w:rsidDel="00000000" w:rsidR="00000000" w:rsidRPr="00000000">
        <w:rPr>
          <w:rtl w:val="0"/>
        </w:rPr>
        <w:t xml:space="preserve">n. 3 informacje z CIS/KIS dot. braku możliwości wykonania usługi)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stawki oferowane przez CIS i KIS istotnie odbiegają od rynkowych;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występują inne uzasadnione przesłanki, np. korzystanie ze wsparcia CIS i KIS będzie powodowało istotne utrudnienia organizacyjne w PS.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Przedsiębiorstwo Społeczne zapewnia, że nie występuje podwójne finansowanie wsparcia reintegracyjnego ze wsparciem finansowym na utworzenie i utrzymanie miejsca pracy w PS.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Wydatki w ramach wsparcia finansowego IPR powinny być ponoszone w sposób przejrzysty, racjonalny i efektywny.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rekomenduje wydatkowanie finansowego wsparcia reintegracyjnego w formie bezgotówkowej, np. przelew czy zapłata kartą płatniczą.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Wsparcie finansowe, o którym mowa w Roz III pkt 4 może mieć charakter pomocy de minimis </w:t>
        <w:br w:type="textWrapping"/>
        <w:t xml:space="preserve">w rozumieniu art. 2 Rozporządzenia 1998/2006 Komisji Europejskiej. W przypadku wystąpienia pomocy de minimis w dniu podpisania Umowy o udzielenie wsparcia reintegracyjnego OWES wydaje Przedsiębiorcy Społecznemu wsparcia reintegracyjnego zaświadczenie o udzielonej pomocy de minimis zgodnie ze wzorem określonym w załączniku do rozporządzenia Rady Ministrów w sprawie zaświadczeń o pomocy de minimis w rolnictwie lub rybołówstwie, z </w:t>
      </w:r>
      <w:r w:rsidDel="00000000" w:rsidR="00000000" w:rsidRPr="00000000">
        <w:rPr>
          <w:rtl w:val="0"/>
        </w:rPr>
        <w:t xml:space="preserve">zastrzeżeniem, iż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wydatki na IPR pracownika  nie mo</w:t>
      </w:r>
      <w:r w:rsidDel="00000000" w:rsidR="00000000" w:rsidRPr="00000000">
        <w:rPr>
          <w:rtl w:val="0"/>
        </w:rPr>
        <w:t xml:space="preserve">gą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odbywać się w ramach działalności gospodarczej tego przedsiębiorstwa.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4"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numPr>
          <w:ilvl w:val="0"/>
          <w:numId w:val="5"/>
        </w:numPr>
        <w:tabs>
          <w:tab w:val="left" w:leader="none" w:pos="519"/>
        </w:tabs>
        <w:spacing w:before="41" w:lineRule="auto"/>
        <w:ind w:left="421" w:hanging="226"/>
        <w:rPr/>
      </w:pPr>
      <w:r w:rsidDel="00000000" w:rsidR="00000000" w:rsidRPr="00000000">
        <w:rPr>
          <w:rtl w:val="0"/>
        </w:rPr>
        <w:t xml:space="preserve"> Procedura udzielania i rozliczania wsparcia reintegracyjnego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Wnioski o udzielenie wsparcia reintegracyjnego są przyjmowane w trybie ciągłym.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informuje Przedsiębiorstwa Społeczne o zasadach, miejscu i formie przyjmowania Wniosków o udzielenie wsparcia reintegracyjnego poprzez zamieszczenie ogłoszenia na stronie internetowej Projektu i Biurze Projektu.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Wsparcie jest udzielane na podstawie wniosku o udzielenie wsparcia reintegracyjnego, umowy </w:t>
        <w:br w:type="textWrapping"/>
        <w:t xml:space="preserve">o udzielenie wsparcia reintegracyjnego oraz oświadczenia dotyczącego podwójnego finansowania.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Wsparcie udzielone zostanie podmiotom, które: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złożą prawidłowo wypełniony wniosek wraz z wymaganymi załącznikami i IPR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otrzymają pozytywną opinię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podpiszą z </w:t>
      </w:r>
      <w:r w:rsidDel="00000000" w:rsidR="00000000" w:rsidRPr="00000000">
        <w:rPr>
          <w:rtl w:val="0"/>
        </w:rPr>
        <w:t xml:space="preserve">OWES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Umowę o udzielenie finansowego wsparcia reintegracyjnego.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dokonuje oceny złożonych wniosków w terminie nie dłuższym niż 30 dni kalendarzowych od wpłynięcia wniosku.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 prawo udzielenia wsparcia w kwocie niższej niż wskazana we wniosku. W takim przypadku podmiot wnioskujący o udzielenie wsparcia obowiązany jest do przedstawienia zaktualizowanego wniosku. Nieprzedłożenie zaktualizowanego wniosku w terminie 5 dni roboczych od dnia skutecznego otrzymania informacji o brakach jest jednoznaczne z rezygnacją z przyznanego wsparcia.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Podstawą wypłaty finansowego wsparcia reintegracyjnego będzie przedłożenie zestawienia poniesionych wydatków na realizację IPR, stanowiącego załącznik do Umowy o udzielenie finansowego wsparcia reintegracyjnego wraz z kserokopią dokumentów finansowo-księgowych i potwierdzeniem zapłaty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5"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PS zapewnia, że nie występuje podwójne finansowanie wsparcia, w tym w szczególności ze wsparciem finansowym na utworzenie i utrzymanie miejsca pracy w PS.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Rozliczanie wsparcia odbywać się będzie na podstawie aktualnie obowiązujących Wytycznych.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Przedsiębiorstwo Społeczne powinien posiadać dokumenty poświadczające realizację IPR przez Wykonawcę/ów z wyjątkiem dokumentów, które zawierają informacje objęte klauzulą poufności, tajemnicą zawodową, lekarską np. psycholog przekazuje listy obecności ze spotkań z osobą objętą IPR, bez dokumentów związanych z diagnozą, obserwacją itp.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przypadku ustania zatrudnienia pracownika objętego wsparciem, Przedsiębiorstwo Społeczne niezwłocznie tj. w terminie do 7 dni kalendarzowych, informuje o tym fakcie </w:t>
      </w:r>
      <w:r w:rsidDel="00000000" w:rsidR="00000000" w:rsidRPr="00000000">
        <w:rPr>
          <w:rtl w:val="0"/>
        </w:rPr>
        <w:t xml:space="preserve">OWES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Moment ustania zatrudnienia pracownika objętego wsparciem jest jednocześnie momentem rozwiązania Umowy o udzielenie finansowego wsparcia reintegracyjnego. Wszystkie udokumentowane wydatki poniesione na realizację IPR i wskazane we Wniosku o udzielenie finansowego wsparcia reintegracyjnego do dnia ustania zatrudnienia pracownika objętego wsparciem są uznane za kwalifikowalne.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567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numPr>
          <w:ilvl w:val="0"/>
          <w:numId w:val="5"/>
        </w:numPr>
        <w:tabs>
          <w:tab w:val="left" w:leader="none" w:pos="967"/>
        </w:tabs>
        <w:spacing w:before="0" w:lineRule="auto"/>
        <w:ind w:left="967" w:hanging="77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Postanowienia końcowe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" w:line="240" w:lineRule="auto"/>
        <w:ind w:left="0" w:right="0" w:firstLine="0"/>
        <w:jc w:val="left"/>
        <w:rPr>
          <w:rFonts w:ascii="Caladea" w:cs="Caladea" w:eastAsia="Caladea" w:hAnsi="Calade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</w:tabs>
        <w:spacing w:after="0" w:before="0" w:line="240" w:lineRule="auto"/>
        <w:ind w:left="914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Ostateczna interpretacja niniejszego Regulaminu należy do OWES.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53" w:line="288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OWES nie odpowiada za żadne szkody, a w szczególności za zobowiązania poczynione przez Beneficjentów Pomocy wobec osób trzecich.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4"/>
          <w:tab w:val="left" w:leader="none" w:pos="916"/>
        </w:tabs>
        <w:spacing w:after="0" w:before="0" w:line="290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OWES zastrzega sobie prawo do wprowadzania zmian w Regulaminie. Informacja o zmianie niniejszego Regulaminu zostanie opublikowana na stronie internetowej OWES.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88" w:lineRule="auto"/>
        <w:ind w:left="916" w:right="0" w:hanging="360"/>
        <w:jc w:val="both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zakresie spraw nieuregulowanych w niniejszym Regulaminie obowiązują przepisy prawa, dokumenty programowe oraz Wytyczne dotyczące realizacji projektów z udziałem środków Europejskiego Funduszu Społecznego Plus w regionalnych programach na lata 2021–2027.</w:t>
      </w:r>
    </w:p>
    <w:sectPr>
      <w:type w:val="nextPage"/>
      <w:pgSz w:h="16840" w:w="11910" w:orient="portrait"/>
      <w:pgMar w:bottom="1800" w:top="2040" w:left="1220" w:right="880" w:header="427" w:footer="156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Calade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139699</wp:posOffset>
          </wp:positionH>
          <wp:positionV relativeFrom="paragraph">
            <wp:posOffset>0</wp:posOffset>
          </wp:positionV>
          <wp:extent cx="5921375" cy="815975"/>
          <wp:effectExtent b="0" l="0" r="0" t="0"/>
          <wp:wrapNone/>
          <wp:docPr id="116602172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1375" cy="815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6413500</wp:posOffset>
              </wp:positionH>
              <wp:positionV relativeFrom="paragraph">
                <wp:posOffset>10363200</wp:posOffset>
              </wp:positionV>
              <wp:extent cx="241935" cy="175260"/>
              <wp:effectExtent b="0" l="0" r="0" t="0"/>
              <wp:wrapNone/>
              <wp:docPr id="116602172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PAGE 18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6413500</wp:posOffset>
              </wp:positionH>
              <wp:positionV relativeFrom="paragraph">
                <wp:posOffset>10363200</wp:posOffset>
              </wp:positionV>
              <wp:extent cx="241935" cy="175260"/>
              <wp:effectExtent b="0" l="0" r="0" t="0"/>
              <wp:wrapNone/>
              <wp:docPr id="116602172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 okresie obowiązywania Indywidualnego Planu Reintegracji do 12 miesięcy od zatrudnienia.</w:t>
      </w:r>
    </w:p>
  </w:footnote>
  <w:footnote w:id="1"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Rekomendacje Ministry Rodziny, Pracy i Polityki Społecznej w zakresie współpracy ośrodków wsparcia ekonomii społecznej (OWES) z podmiotami zatrudnienia socjalnego (PZS) w realizacji usługi wsparcia działań reintegracyjnych podejmowanych przez przedsiębiorstwo społeczne (PS)</w:t>
      </w:r>
    </w:p>
  </w:footnote>
  <w:footnote w:id="4"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j.w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 do zasady refundacja wydatków w ramach finansowego wsparcia reintegracyjnego dotyczy wartości brutto, niemniej należy mieć na uwadze, iż to </w:t>
      </w:r>
      <w:r w:rsidDel="00000000" w:rsidR="00000000" w:rsidRPr="00000000">
        <w:rPr>
          <w:sz w:val="20"/>
          <w:szCs w:val="20"/>
          <w:rtl w:val="0"/>
        </w:rPr>
        <w:t xml:space="preserve">PS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ponosi pełną odpowiedzialność za dochowanie wymogu braku podwójnego finansowania np. w przypadku odzyskania podatku VAT zgodnie z przepisami prawa krajowego.</w:t>
      </w:r>
    </w:p>
  </w:footnote>
  <w:footnote w:id="2">
    <w:p w:rsidR="00000000" w:rsidDel="00000000" w:rsidP="00000000" w:rsidRDefault="00000000" w:rsidRPr="00000000" w14:paraId="000000AE">
      <w:pPr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Zespół – oznacza pracowników przedsiębiorstwa społecznego spełniających przesłankę wykluczenia społecznego zgo</w:t>
      </w:r>
      <w:r w:rsidDel="00000000" w:rsidR="00000000" w:rsidRPr="00000000">
        <w:rPr>
          <w:rtl w:val="0"/>
        </w:rPr>
        <w:t xml:space="preserve">dnie z art. 2, punkt 6, litery b, d, e, g, h, i oraz l ustawy z dnia 5 sierpnia 2022 r. </w:t>
        <w:br w:type="textWrapping"/>
        <w:t xml:space="preserve">o ekonomii społecznej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AF">
      <w:pPr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Rekomendacje Ministry Rodziny, Pracy i Polityki Społecznej w zakresie współpracy ośrodków wsparcia ekonomii społecznej (OWES) z podmiotami zatrudnienia socjalnego (PZS) w realizacji usługi wsparcia działań reintegracyjnych podejmowanych przez przedsiębiorstwo społeczne (PS)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-104139</wp:posOffset>
          </wp:positionH>
          <wp:positionV relativeFrom="paragraph">
            <wp:posOffset>-89534</wp:posOffset>
          </wp:positionV>
          <wp:extent cx="6229350" cy="1010285"/>
          <wp:effectExtent b="0" l="0" r="0" t="0"/>
          <wp:wrapSquare wrapText="bothSides" distB="0" distT="0" distL="114300" distR="114300"/>
          <wp:docPr id="116602172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29350" cy="10102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329" w:hanging="360"/>
      </w:pPr>
      <w:rPr>
        <w:rFonts w:ascii="Carlito" w:cs="Carlito" w:eastAsia="Carlito" w:hAnsi="Carlito"/>
        <w:b w:val="1"/>
        <w:i w:val="0"/>
        <w:sz w:val="22"/>
        <w:szCs w:val="22"/>
      </w:rPr>
    </w:lvl>
    <w:lvl w:ilvl="1">
      <w:start w:val="0"/>
      <w:numFmt w:val="bullet"/>
      <w:lvlText w:val="-"/>
      <w:lvlJc w:val="left"/>
      <w:pPr>
        <w:ind w:left="1624" w:hanging="360"/>
      </w:pPr>
      <w:rPr>
        <w:rFonts w:ascii="Arial" w:cs="Arial" w:eastAsia="Arial" w:hAnsi="Arial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2529" w:hanging="360"/>
      </w:pPr>
      <w:rPr/>
    </w:lvl>
    <w:lvl w:ilvl="3">
      <w:start w:val="0"/>
      <w:numFmt w:val="bullet"/>
      <w:lvlText w:val="•"/>
      <w:lvlJc w:val="left"/>
      <w:pPr>
        <w:ind w:left="3439" w:hanging="360"/>
      </w:pPr>
      <w:rPr/>
    </w:lvl>
    <w:lvl w:ilvl="4">
      <w:start w:val="0"/>
      <w:numFmt w:val="bullet"/>
      <w:lvlText w:val="•"/>
      <w:lvlJc w:val="left"/>
      <w:pPr>
        <w:ind w:left="4348" w:hanging="360"/>
      </w:pPr>
      <w:rPr/>
    </w:lvl>
    <w:lvl w:ilvl="5">
      <w:start w:val="0"/>
      <w:numFmt w:val="bullet"/>
      <w:lvlText w:val="•"/>
      <w:lvlJc w:val="left"/>
      <w:pPr>
        <w:ind w:left="5258" w:hanging="360"/>
      </w:pPr>
      <w:rPr/>
    </w:lvl>
    <w:lvl w:ilvl="6">
      <w:start w:val="0"/>
      <w:numFmt w:val="bullet"/>
      <w:lvlText w:val="•"/>
      <w:lvlJc w:val="left"/>
      <w:pPr>
        <w:ind w:left="6168" w:hanging="360"/>
      </w:pPr>
      <w:rPr/>
    </w:lvl>
    <w:lvl w:ilvl="7">
      <w:start w:val="0"/>
      <w:numFmt w:val="bullet"/>
      <w:lvlText w:val="•"/>
      <w:lvlJc w:val="left"/>
      <w:pPr>
        <w:ind w:left="7077" w:hanging="360"/>
      </w:pPr>
      <w:rPr/>
    </w:lvl>
    <w:lvl w:ilvl="8">
      <w:start w:val="0"/>
      <w:numFmt w:val="bullet"/>
      <w:lvlText w:val="•"/>
      <w:lvlJc w:val="left"/>
      <w:pPr>
        <w:ind w:left="7987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636" w:hanging="360"/>
      </w:pPr>
      <w:rPr>
        <w:rFonts w:ascii="Carlito" w:cs="Carlito" w:eastAsia="Carlito" w:hAnsi="Carlito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456" w:hanging="360"/>
      </w:pPr>
      <w:rPr/>
    </w:lvl>
    <w:lvl w:ilvl="2">
      <w:start w:val="0"/>
      <w:numFmt w:val="bullet"/>
      <w:lvlText w:val="•"/>
      <w:lvlJc w:val="left"/>
      <w:pPr>
        <w:ind w:left="3273" w:hanging="360"/>
      </w:pPr>
      <w:rPr/>
    </w:lvl>
    <w:lvl w:ilvl="3">
      <w:start w:val="0"/>
      <w:numFmt w:val="bullet"/>
      <w:lvlText w:val="•"/>
      <w:lvlJc w:val="left"/>
      <w:pPr>
        <w:ind w:left="4089" w:hanging="360"/>
      </w:pPr>
      <w:rPr/>
    </w:lvl>
    <w:lvl w:ilvl="4">
      <w:start w:val="0"/>
      <w:numFmt w:val="bullet"/>
      <w:lvlText w:val="•"/>
      <w:lvlJc w:val="left"/>
      <w:pPr>
        <w:ind w:left="4906" w:hanging="360"/>
      </w:pPr>
      <w:rPr/>
    </w:lvl>
    <w:lvl w:ilvl="5">
      <w:start w:val="0"/>
      <w:numFmt w:val="bullet"/>
      <w:lvlText w:val="•"/>
      <w:lvlJc w:val="left"/>
      <w:pPr>
        <w:ind w:left="5723" w:hanging="360"/>
      </w:pPr>
      <w:rPr/>
    </w:lvl>
    <w:lvl w:ilvl="6">
      <w:start w:val="0"/>
      <w:numFmt w:val="bullet"/>
      <w:lvlText w:val="•"/>
      <w:lvlJc w:val="left"/>
      <w:pPr>
        <w:ind w:left="6539" w:hanging="360"/>
      </w:pPr>
      <w:rPr/>
    </w:lvl>
    <w:lvl w:ilvl="7">
      <w:start w:val="0"/>
      <w:numFmt w:val="bullet"/>
      <w:lvlText w:val="•"/>
      <w:lvlJc w:val="left"/>
      <w:pPr>
        <w:ind w:left="7356" w:hanging="360"/>
      </w:pPr>
      <w:rPr/>
    </w:lvl>
    <w:lvl w:ilvl="8">
      <w:start w:val="0"/>
      <w:numFmt w:val="bullet"/>
      <w:lvlText w:val="•"/>
      <w:lvlJc w:val="left"/>
      <w:pPr>
        <w:ind w:left="8173" w:hanging="360"/>
      </w:pPr>
      <w:rPr/>
    </w:lvl>
  </w:abstractNum>
  <w:abstractNum w:abstractNumId="3">
    <w:lvl w:ilvl="0">
      <w:start w:val="0"/>
      <w:numFmt w:val="bullet"/>
      <w:lvlText w:val="-"/>
      <w:lvlJc w:val="left"/>
      <w:pPr>
        <w:ind w:left="1473" w:hanging="360"/>
      </w:pPr>
      <w:rPr>
        <w:rFonts w:ascii="Arial" w:cs="Arial" w:eastAsia="Arial" w:hAnsi="Arial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312" w:hanging="360"/>
      </w:pPr>
      <w:rPr/>
    </w:lvl>
    <w:lvl w:ilvl="2">
      <w:start w:val="0"/>
      <w:numFmt w:val="bullet"/>
      <w:lvlText w:val="•"/>
      <w:lvlJc w:val="left"/>
      <w:pPr>
        <w:ind w:left="3145" w:hanging="360"/>
      </w:pPr>
      <w:rPr/>
    </w:lvl>
    <w:lvl w:ilvl="3">
      <w:start w:val="0"/>
      <w:numFmt w:val="bullet"/>
      <w:lvlText w:val="•"/>
      <w:lvlJc w:val="left"/>
      <w:pPr>
        <w:ind w:left="3977" w:hanging="360"/>
      </w:pPr>
      <w:rPr/>
    </w:lvl>
    <w:lvl w:ilvl="4">
      <w:start w:val="0"/>
      <w:numFmt w:val="bullet"/>
      <w:lvlText w:val="•"/>
      <w:lvlJc w:val="left"/>
      <w:pPr>
        <w:ind w:left="4810" w:hanging="360"/>
      </w:pPr>
      <w:rPr/>
    </w:lvl>
    <w:lvl w:ilvl="5">
      <w:start w:val="0"/>
      <w:numFmt w:val="bullet"/>
      <w:lvlText w:val="•"/>
      <w:lvlJc w:val="left"/>
      <w:pPr>
        <w:ind w:left="5643" w:hanging="360"/>
      </w:pPr>
      <w:rPr/>
    </w:lvl>
    <w:lvl w:ilvl="6">
      <w:start w:val="0"/>
      <w:numFmt w:val="bullet"/>
      <w:lvlText w:val="•"/>
      <w:lvlJc w:val="left"/>
      <w:pPr>
        <w:ind w:left="6475" w:hanging="360"/>
      </w:pPr>
      <w:rPr/>
    </w:lvl>
    <w:lvl w:ilvl="7">
      <w:start w:val="0"/>
      <w:numFmt w:val="bullet"/>
      <w:lvlText w:val="•"/>
      <w:lvlJc w:val="left"/>
      <w:pPr>
        <w:ind w:left="7308" w:hanging="360"/>
      </w:pPr>
      <w:rPr/>
    </w:lvl>
    <w:lvl w:ilvl="8">
      <w:start w:val="0"/>
      <w:numFmt w:val="bullet"/>
      <w:lvlText w:val="•"/>
      <w:lvlJc w:val="left"/>
      <w:pPr>
        <w:ind w:left="8141" w:hanging="36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636" w:hanging="360"/>
      </w:pPr>
      <w:rPr>
        <w:rFonts w:ascii="Carlito" w:cs="Carlito" w:eastAsia="Carlito" w:hAnsi="Carlito"/>
        <w:b w:val="0"/>
        <w:i w:val="0"/>
        <w:sz w:val="22"/>
        <w:szCs w:val="22"/>
      </w:rPr>
    </w:lvl>
    <w:lvl w:ilvl="1">
      <w:start w:val="0"/>
      <w:numFmt w:val="bullet"/>
      <w:lvlText w:val="–"/>
      <w:lvlJc w:val="left"/>
      <w:pPr>
        <w:ind w:left="2320" w:hanging="161"/>
      </w:pPr>
      <w:rPr>
        <w:rFonts w:ascii="Carlito" w:cs="Carlito" w:eastAsia="Carlito" w:hAnsi="Carlito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3151" w:hanging="161"/>
      </w:pPr>
      <w:rPr/>
    </w:lvl>
    <w:lvl w:ilvl="3">
      <w:start w:val="0"/>
      <w:numFmt w:val="bullet"/>
      <w:lvlText w:val="•"/>
      <w:lvlJc w:val="left"/>
      <w:pPr>
        <w:ind w:left="3983" w:hanging="161"/>
      </w:pPr>
      <w:rPr/>
    </w:lvl>
    <w:lvl w:ilvl="4">
      <w:start w:val="0"/>
      <w:numFmt w:val="bullet"/>
      <w:lvlText w:val="•"/>
      <w:lvlJc w:val="left"/>
      <w:pPr>
        <w:ind w:left="4815" w:hanging="161"/>
      </w:pPr>
      <w:rPr/>
    </w:lvl>
    <w:lvl w:ilvl="5">
      <w:start w:val="0"/>
      <w:numFmt w:val="bullet"/>
      <w:lvlText w:val="•"/>
      <w:lvlJc w:val="left"/>
      <w:pPr>
        <w:ind w:left="5647" w:hanging="161"/>
      </w:pPr>
      <w:rPr/>
    </w:lvl>
    <w:lvl w:ilvl="6">
      <w:start w:val="0"/>
      <w:numFmt w:val="bullet"/>
      <w:lvlText w:val="•"/>
      <w:lvlJc w:val="left"/>
      <w:pPr>
        <w:ind w:left="6479" w:hanging="161"/>
      </w:pPr>
      <w:rPr/>
    </w:lvl>
    <w:lvl w:ilvl="7">
      <w:start w:val="0"/>
      <w:numFmt w:val="bullet"/>
      <w:lvlText w:val="•"/>
      <w:lvlJc w:val="left"/>
      <w:pPr>
        <w:ind w:left="7310" w:hanging="161"/>
      </w:pPr>
      <w:rPr/>
    </w:lvl>
    <w:lvl w:ilvl="8">
      <w:start w:val="0"/>
      <w:numFmt w:val="bullet"/>
      <w:lvlText w:val="•"/>
      <w:lvlJc w:val="left"/>
      <w:pPr>
        <w:ind w:left="8142" w:hanging="161"/>
      </w:pPr>
      <w:rPr/>
    </w:lvl>
  </w:abstractNum>
  <w:abstractNum w:abstractNumId="5">
    <w:lvl w:ilvl="0">
      <w:start w:val="1"/>
      <w:numFmt w:val="upperRoman"/>
      <w:lvlText w:val="%1."/>
      <w:lvlJc w:val="left"/>
      <w:pPr>
        <w:ind w:left="421" w:hanging="226"/>
      </w:pPr>
      <w:rPr>
        <w:rFonts w:ascii="Caladea" w:cs="Caladea" w:eastAsia="Caladea" w:hAnsi="Caladea"/>
        <w:b w:val="1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ind w:left="916" w:hanging="360"/>
      </w:pPr>
      <w:rPr>
        <w:b w:val="1"/>
      </w:rPr>
    </w:lvl>
    <w:lvl w:ilvl="2">
      <w:start w:val="0"/>
      <w:numFmt w:val="bullet"/>
      <w:lvlText w:val="●"/>
      <w:lvlJc w:val="left"/>
      <w:pPr>
        <w:ind w:left="916" w:hanging="360"/>
      </w:pPr>
      <w:rPr>
        <w:rFonts w:ascii="Arial" w:cs="Arial" w:eastAsia="Arial" w:hAnsi="Arial"/>
        <w:b w:val="0"/>
        <w:i w:val="0"/>
        <w:sz w:val="22"/>
        <w:szCs w:val="22"/>
      </w:rPr>
    </w:lvl>
    <w:lvl w:ilvl="3">
      <w:start w:val="0"/>
      <w:numFmt w:val="bullet"/>
      <w:lvlText w:val="•"/>
      <w:lvlJc w:val="left"/>
      <w:pPr>
        <w:ind w:left="620" w:hanging="360"/>
      </w:pPr>
      <w:rPr/>
    </w:lvl>
    <w:lvl w:ilvl="4">
      <w:start w:val="0"/>
      <w:numFmt w:val="bullet"/>
      <w:lvlText w:val="•"/>
      <w:lvlJc w:val="left"/>
      <w:pPr>
        <w:ind w:left="900" w:hanging="360"/>
      </w:pPr>
      <w:rPr/>
    </w:lvl>
    <w:lvl w:ilvl="5">
      <w:start w:val="0"/>
      <w:numFmt w:val="bullet"/>
      <w:lvlText w:val="•"/>
      <w:lvlJc w:val="left"/>
      <w:pPr>
        <w:ind w:left="920" w:hanging="360"/>
      </w:pPr>
      <w:rPr/>
    </w:lvl>
    <w:lvl w:ilvl="6">
      <w:start w:val="0"/>
      <w:numFmt w:val="bullet"/>
      <w:lvlText w:val="•"/>
      <w:lvlJc w:val="left"/>
      <w:pPr>
        <w:ind w:left="2697" w:hanging="360"/>
      </w:pPr>
      <w:rPr/>
    </w:lvl>
    <w:lvl w:ilvl="7">
      <w:start w:val="0"/>
      <w:numFmt w:val="bullet"/>
      <w:lvlText w:val="•"/>
      <w:lvlJc w:val="left"/>
      <w:pPr>
        <w:ind w:left="4474" w:hanging="360"/>
      </w:pPr>
      <w:rPr/>
    </w:lvl>
    <w:lvl w:ilvl="8">
      <w:start w:val="0"/>
      <w:numFmt w:val="bullet"/>
      <w:lvlText w:val="•"/>
      <w:lvlJc w:val="left"/>
      <w:pPr>
        <w:ind w:left="6251" w:hanging="360"/>
      </w:pPr>
      <w:rPr/>
    </w:lvl>
  </w:abstractNum>
  <w:abstractNum w:abstractNumId="6">
    <w:lvl w:ilvl="0">
      <w:start w:val="9"/>
      <w:numFmt w:val="decimal"/>
      <w:lvlText w:val="%1."/>
      <w:lvlJc w:val="left"/>
      <w:pPr>
        <w:ind w:left="92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648" w:hanging="360"/>
      </w:pPr>
      <w:rPr/>
    </w:lvl>
    <w:lvl w:ilvl="2">
      <w:start w:val="1"/>
      <w:numFmt w:val="lowerRoman"/>
      <w:lvlText w:val="%3."/>
      <w:lvlJc w:val="right"/>
      <w:pPr>
        <w:ind w:left="2368" w:hanging="180"/>
      </w:pPr>
      <w:rPr/>
    </w:lvl>
    <w:lvl w:ilvl="3">
      <w:start w:val="1"/>
      <w:numFmt w:val="decimal"/>
      <w:lvlText w:val="%4."/>
      <w:lvlJc w:val="left"/>
      <w:pPr>
        <w:ind w:left="3088" w:hanging="360"/>
      </w:pPr>
      <w:rPr/>
    </w:lvl>
    <w:lvl w:ilvl="4">
      <w:start w:val="1"/>
      <w:numFmt w:val="lowerLetter"/>
      <w:lvlText w:val="%5."/>
      <w:lvlJc w:val="left"/>
      <w:pPr>
        <w:ind w:left="3808" w:hanging="360"/>
      </w:pPr>
      <w:rPr/>
    </w:lvl>
    <w:lvl w:ilvl="5">
      <w:start w:val="1"/>
      <w:numFmt w:val="lowerRoman"/>
      <w:lvlText w:val="%6."/>
      <w:lvlJc w:val="right"/>
      <w:pPr>
        <w:ind w:left="4528" w:hanging="180"/>
      </w:pPr>
      <w:rPr/>
    </w:lvl>
    <w:lvl w:ilvl="6">
      <w:start w:val="1"/>
      <w:numFmt w:val="decimal"/>
      <w:lvlText w:val="%7."/>
      <w:lvlJc w:val="left"/>
      <w:pPr>
        <w:ind w:left="5248" w:hanging="360"/>
      </w:pPr>
      <w:rPr/>
    </w:lvl>
    <w:lvl w:ilvl="7">
      <w:start w:val="1"/>
      <w:numFmt w:val="lowerLetter"/>
      <w:lvlText w:val="%8."/>
      <w:lvlJc w:val="left"/>
      <w:pPr>
        <w:ind w:left="5968" w:hanging="360"/>
      </w:pPr>
      <w:rPr/>
    </w:lvl>
    <w:lvl w:ilvl="8">
      <w:start w:val="1"/>
      <w:numFmt w:val="lowerRoman"/>
      <w:lvlText w:val="%9."/>
      <w:lvlJc w:val="right"/>
      <w:pPr>
        <w:ind w:left="6688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927" w:hanging="360"/>
      </w:pPr>
      <w:rPr/>
    </w:lvl>
    <w:lvl w:ilvl="1">
      <w:start w:val="1"/>
      <w:numFmt w:val="bullet"/>
      <w:lvlText w:val="○"/>
      <w:lvlJc w:val="left"/>
      <w:pPr>
        <w:ind w:left="1647" w:hanging="360"/>
      </w:pPr>
      <w:rPr/>
    </w:lvl>
    <w:lvl w:ilvl="2">
      <w:start w:val="1"/>
      <w:numFmt w:val="bullet"/>
      <w:lvlText w:val="■"/>
      <w:lvlJc w:val="left"/>
      <w:pPr>
        <w:ind w:left="2367" w:hanging="180"/>
      </w:pPr>
      <w:rPr/>
    </w:lvl>
    <w:lvl w:ilvl="3">
      <w:start w:val="1"/>
      <w:numFmt w:val="bullet"/>
      <w:lvlText w:val="●"/>
      <w:lvlJc w:val="left"/>
      <w:pPr>
        <w:ind w:left="3087" w:hanging="360"/>
      </w:pPr>
      <w:rPr/>
    </w:lvl>
    <w:lvl w:ilvl="4">
      <w:start w:val="1"/>
      <w:numFmt w:val="bullet"/>
      <w:lvlText w:val="○"/>
      <w:lvlJc w:val="left"/>
      <w:pPr>
        <w:ind w:left="3807" w:hanging="360"/>
      </w:pPr>
      <w:rPr/>
    </w:lvl>
    <w:lvl w:ilvl="5">
      <w:start w:val="1"/>
      <w:numFmt w:val="bullet"/>
      <w:lvlText w:val="■"/>
      <w:lvlJc w:val="left"/>
      <w:pPr>
        <w:ind w:left="4527" w:hanging="180"/>
      </w:pPr>
      <w:rPr/>
    </w:lvl>
    <w:lvl w:ilvl="6">
      <w:start w:val="1"/>
      <w:numFmt w:val="bullet"/>
      <w:lvlText w:val="●"/>
      <w:lvlJc w:val="left"/>
      <w:pPr>
        <w:ind w:left="5247" w:hanging="360"/>
      </w:pPr>
      <w:rPr/>
    </w:lvl>
    <w:lvl w:ilvl="7">
      <w:start w:val="1"/>
      <w:numFmt w:val="bullet"/>
      <w:lvlText w:val="○"/>
      <w:lvlJc w:val="left"/>
      <w:pPr>
        <w:ind w:left="5967" w:hanging="360"/>
      </w:pPr>
      <w:rPr/>
    </w:lvl>
    <w:lvl w:ilvl="8">
      <w:start w:val="1"/>
      <w:numFmt w:val="bullet"/>
      <w:lvlText w:val="■"/>
      <w:lvlJc w:val="left"/>
      <w:pPr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l-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196"/>
    </w:pPr>
    <w:rPr>
      <w:rFonts w:ascii="Caladea" w:cs="Caladea" w:eastAsia="Caladea" w:hAnsi="Caladea"/>
      <w:b w:val="1"/>
      <w:sz w:val="28"/>
      <w:szCs w:val="28"/>
    </w:rPr>
  </w:style>
  <w:style w:type="paragraph" w:styleId="Heading2">
    <w:name w:val="heading 2"/>
    <w:basedOn w:val="Normal"/>
    <w:next w:val="Normal"/>
    <w:pPr>
      <w:spacing w:before="81" w:lineRule="auto"/>
      <w:ind w:left="479" w:hanging="360"/>
    </w:pPr>
    <w:rPr>
      <w:rFonts w:ascii="Caladea" w:cs="Caladea" w:eastAsia="Caladea" w:hAnsi="Caladea"/>
      <w:b w:val="1"/>
      <w:sz w:val="26"/>
      <w:szCs w:val="26"/>
    </w:rPr>
  </w:style>
  <w:style w:type="paragraph" w:styleId="Heading3">
    <w:name w:val="heading 3"/>
    <w:basedOn w:val="Normal"/>
    <w:next w:val="Normal"/>
    <w:pPr>
      <w:ind w:left="916" w:hanging="36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Pr>
      <w:rFonts w:ascii="Carlito" w:cs="Carlito" w:eastAsia="Carlito" w:hAnsi="Carlito"/>
      <w:lang w:val="pl-PL"/>
    </w:rPr>
  </w:style>
  <w:style w:type="paragraph" w:styleId="Nagwek1">
    <w:name w:val="heading 1"/>
    <w:basedOn w:val="Normalny"/>
    <w:uiPriority w:val="9"/>
    <w:qFormat w:val="1"/>
    <w:pPr>
      <w:spacing w:before="1"/>
      <w:ind w:left="196"/>
      <w:outlineLvl w:val="0"/>
    </w:pPr>
    <w:rPr>
      <w:rFonts w:ascii="Caladea" w:cs="Caladea" w:eastAsia="Caladea" w:hAnsi="Caladea"/>
      <w:b w:val="1"/>
      <w:bCs w:val="1"/>
      <w:sz w:val="28"/>
      <w:szCs w:val="28"/>
    </w:rPr>
  </w:style>
  <w:style w:type="paragraph" w:styleId="Nagwek2">
    <w:name w:val="heading 2"/>
    <w:basedOn w:val="Normalny"/>
    <w:uiPriority w:val="9"/>
    <w:unhideWhenUsed w:val="1"/>
    <w:qFormat w:val="1"/>
    <w:pPr>
      <w:spacing w:before="81"/>
      <w:ind w:left="479" w:hanging="360"/>
      <w:outlineLvl w:val="1"/>
    </w:pPr>
    <w:rPr>
      <w:rFonts w:ascii="Caladea" w:cs="Caladea" w:eastAsia="Caladea" w:hAnsi="Caladea"/>
      <w:b w:val="1"/>
      <w:bCs w:val="1"/>
      <w:sz w:val="26"/>
      <w:szCs w:val="26"/>
    </w:rPr>
  </w:style>
  <w:style w:type="paragraph" w:styleId="Nagwek3">
    <w:name w:val="heading 3"/>
    <w:basedOn w:val="Normalny"/>
    <w:uiPriority w:val="9"/>
    <w:unhideWhenUsed w:val="1"/>
    <w:qFormat w:val="1"/>
    <w:pPr>
      <w:ind w:left="916" w:hanging="360"/>
      <w:outlineLvl w:val="2"/>
    </w:pPr>
    <w:rPr>
      <w:b w:val="1"/>
      <w:bCs w:val="1"/>
    </w:rPr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pistreci1">
    <w:name w:val="toc 1"/>
    <w:basedOn w:val="Normalny"/>
    <w:uiPriority w:val="1"/>
    <w:qFormat w:val="1"/>
    <w:pPr>
      <w:spacing w:before="139"/>
      <w:ind w:left="469" w:hanging="397"/>
    </w:pPr>
  </w:style>
  <w:style w:type="paragraph" w:styleId="Spistreci2">
    <w:name w:val="toc 2"/>
    <w:basedOn w:val="Normalny"/>
    <w:uiPriority w:val="1"/>
    <w:qFormat w:val="1"/>
    <w:pPr>
      <w:spacing w:before="139"/>
      <w:ind w:left="856" w:hanging="439"/>
    </w:pPr>
  </w:style>
  <w:style w:type="paragraph" w:styleId="Tekstpodstawowy">
    <w:name w:val="Body Text"/>
    <w:basedOn w:val="Normalny"/>
    <w:uiPriority w:val="1"/>
    <w:qFormat w:val="1"/>
    <w:pPr>
      <w:ind w:left="479"/>
    </w:pPr>
  </w:style>
  <w:style w:type="paragraph" w:styleId="Akapitzlist">
    <w:name w:val="List Paragraph"/>
    <w:basedOn w:val="Normalny"/>
    <w:uiPriority w:val="1"/>
    <w:qFormat w:val="1"/>
    <w:pPr>
      <w:ind w:left="479" w:hanging="360"/>
    </w:pPr>
  </w:style>
  <w:style w:type="paragraph" w:styleId="TableParagraph" w:customStyle="1">
    <w:name w:val="Table Paragraph"/>
    <w:basedOn w:val="Normalny"/>
    <w:uiPriority w:val="1"/>
    <w:qFormat w:val="1"/>
    <w:pPr>
      <w:ind w:left="110"/>
    </w:pPr>
  </w:style>
  <w:style w:type="paragraph" w:styleId="Nagwek">
    <w:name w:val="header"/>
    <w:basedOn w:val="Normalny"/>
    <w:link w:val="NagwekZnak"/>
    <w:uiPriority w:val="99"/>
    <w:unhideWhenUsed w:val="1"/>
    <w:rsid w:val="00E01F9A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E01F9A"/>
    <w:rPr>
      <w:rFonts w:ascii="Carlito" w:cs="Carlito" w:eastAsia="Carlito" w:hAnsi="Carlito"/>
      <w:lang w:val="pl-PL"/>
    </w:rPr>
  </w:style>
  <w:style w:type="paragraph" w:styleId="Stopka">
    <w:name w:val="footer"/>
    <w:basedOn w:val="Normalny"/>
    <w:link w:val="StopkaZnak"/>
    <w:uiPriority w:val="99"/>
    <w:unhideWhenUsed w:val="1"/>
    <w:rsid w:val="00E01F9A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E01F9A"/>
    <w:rPr>
      <w:rFonts w:ascii="Carlito" w:cs="Carlito" w:eastAsia="Carlito" w:hAnsi="Carlito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 w:val="1"/>
    <w:unhideWhenUsed w:val="1"/>
    <w:rsid w:val="00B27B33"/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 w:val="1"/>
    <w:rsid w:val="00B27B33"/>
    <w:rPr>
      <w:rFonts w:ascii="Carlito" w:cs="Carlito" w:eastAsia="Carlito" w:hAnsi="Carlito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B27B3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B615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B6151C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B6151C"/>
    <w:rPr>
      <w:rFonts w:ascii="Carlito" w:cs="Carlito" w:eastAsia="Carlito" w:hAnsi="Carlito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B6151C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B6151C"/>
    <w:rPr>
      <w:rFonts w:ascii="Carlito" w:cs="Carlito" w:eastAsia="Carlito" w:hAnsi="Carlito"/>
      <w:b w:val="1"/>
      <w:bCs w:val="1"/>
      <w:sz w:val="20"/>
      <w:szCs w:val="20"/>
      <w:lang w:val="pl-P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biuro.owes@teatrgrodzki.pl" TargetMode="External"/><Relationship Id="rId10" Type="http://schemas.openxmlformats.org/officeDocument/2006/relationships/footer" Target="footer1.xml"/><Relationship Id="rId13" Type="http://schemas.openxmlformats.org/officeDocument/2006/relationships/hyperlink" Target="https://es.rops-katowice.pl/katalog-uslug-reintegracyjnych-cis-i-kis/" TargetMode="External"/><Relationship Id="rId12" Type="http://schemas.openxmlformats.org/officeDocument/2006/relationships/hyperlink" Target="http://www.owes.bcp.org.p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mailto:owes@bcp.org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ladea-regular.ttf"/><Relationship Id="rId2" Type="http://schemas.openxmlformats.org/officeDocument/2006/relationships/font" Target="fonts/Caladea-bold.ttf"/><Relationship Id="rId3" Type="http://schemas.openxmlformats.org/officeDocument/2006/relationships/font" Target="fonts/Caladea-italic.ttf"/><Relationship Id="rId4" Type="http://schemas.openxmlformats.org/officeDocument/2006/relationships/font" Target="fonts/Caladea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THzeDayQsyY1ilDiVNuV43Mv3Q==">CgMxLjAyCGguZ2pkZ3hzMgloLjMwajB6bGwyCWguMWZvYjl0ZTgAciExTlRxcUpTLVV6b3prOE9ma2dxcERuSDJteTJYcm5tbUE=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2024-10-29T13:58:00Z</dcterms:created>
  <dc:creator>LENOVO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2024-06-14T00:00:00Z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2024-10-28T00:00:00Z</vt:lpwstr>
  </property>
  <property fmtid="{D5CDD505-2E9C-101B-9397-08002B2CF9AE}" pid="5" name="Producer">
    <vt:lpwstr>3-Heights(TM) PDF Security Shell 4.8.25.2 (http://www.pdf-tools.com)</vt:lpwstr>
  </property>
</Properties>
</file>